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402FD5CB" w14:textId="77777777" w:rsidR="002C7119" w:rsidRPr="00E81F4F" w:rsidRDefault="002C7119" w:rsidP="002C7119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0629A53E" w14:textId="64DB5B5C" w:rsidR="002C7119" w:rsidRDefault="002C7119" w:rsidP="002C7119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20 Plus </w:t>
      </w:r>
      <w:r>
        <w:rPr>
          <w:rFonts w:eastAsia="Times New Roman" w:cstheme="minorHAnsi"/>
          <w:b/>
          <w:bCs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 xml:space="preserve">Hot-dip galvanizing, factory-applied polyamide epoxy prime coat, </w:t>
      </w:r>
      <w:r>
        <w:rPr>
          <w:rFonts w:eastAsia="Times New Roman" w:cstheme="minorHAnsi"/>
          <w:color w:val="000000"/>
        </w:rPr>
        <w:t xml:space="preserve">an </w:t>
      </w:r>
      <w:r w:rsidRPr="00E81F4F">
        <w:rPr>
          <w:rFonts w:eastAsia="Times New Roman" w:cstheme="minorHAnsi"/>
          <w:color w:val="000000"/>
        </w:rPr>
        <w:t xml:space="preserve">aliphatic acrylic urethane </w:t>
      </w:r>
      <w:r>
        <w:rPr>
          <w:rFonts w:eastAsia="Times New Roman" w:cstheme="minorHAnsi"/>
          <w:color w:val="000000"/>
        </w:rPr>
        <w:t xml:space="preserve">intermediate coat </w:t>
      </w:r>
      <w:r w:rsidRPr="00E81F4F">
        <w:rPr>
          <w:rFonts w:eastAsia="Times New Roman" w:cstheme="minorHAnsi"/>
          <w:color w:val="000000"/>
        </w:rPr>
        <w:t xml:space="preserve">and </w:t>
      </w:r>
      <w:r>
        <w:rPr>
          <w:rFonts w:eastAsia="Times New Roman" w:cstheme="minorHAnsi"/>
          <w:color w:val="000000"/>
        </w:rPr>
        <w:t xml:space="preserve">a </w:t>
      </w:r>
      <w:r w:rsidRPr="00E81F4F">
        <w:rPr>
          <w:rFonts w:eastAsia="Times New Roman" w:cstheme="minorHAnsi"/>
          <w:color w:val="000000"/>
        </w:rPr>
        <w:t>fluoropolymer urethane topcoat</w:t>
      </w:r>
      <w:r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color w:val="000000"/>
        </w:rPr>
        <w:t xml:space="preserve">and aliphatic acrylic urethane UV resistant </w:t>
      </w:r>
      <w:r>
        <w:rPr>
          <w:rFonts w:eastAsia="Times New Roman" w:cstheme="minorHAnsi"/>
          <w:color w:val="000000"/>
        </w:rPr>
        <w:t xml:space="preserve">anti-graffiti </w:t>
      </w:r>
      <w:r w:rsidRPr="00E81F4F">
        <w:rPr>
          <w:rFonts w:eastAsia="Times New Roman" w:cstheme="minorHAnsi"/>
          <w:color w:val="000000"/>
        </w:rPr>
        <w:t>clear-coat for iron and steel fabrications.</w:t>
      </w:r>
    </w:p>
    <w:p w14:paraId="4E4CBE40" w14:textId="77777777" w:rsidR="002C7119" w:rsidRPr="00E81F4F" w:rsidRDefault="002C7119" w:rsidP="002C7119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130B19D0" w14:textId="77777777" w:rsidR="000A6351" w:rsidRPr="0067067E" w:rsidRDefault="000A6351" w:rsidP="000A635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695F98B9" w14:textId="77777777" w:rsidR="001E0ED9" w:rsidRPr="0067067E" w:rsidRDefault="001E0ED9" w:rsidP="001E0ED9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612F0809" w14:textId="77777777" w:rsidR="00F21F8B" w:rsidRDefault="00F21F8B" w:rsidP="001E0ED9">
      <w:pPr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133A49B5" w14:textId="3E2A64F8" w:rsidR="00DB3F13" w:rsidRDefault="00DB3F13" w:rsidP="00DB3F13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0CE46CF9" w14:textId="77777777" w:rsidR="000A6351" w:rsidRDefault="00A8301C" w:rsidP="0099740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A6351">
        <w:rPr>
          <w:rFonts w:eastAsia="Times New Roman" w:cstheme="minorHAnsi"/>
          <w:b/>
          <w:bCs/>
          <w:color w:val="000000"/>
        </w:rPr>
        <w:t>Galvanizer’s Qualifications</w:t>
      </w:r>
      <w:r w:rsidRPr="000A6351">
        <w:rPr>
          <w:rFonts w:eastAsia="Times New Roman" w:cstheme="minorHAnsi"/>
          <w:color w:val="000000"/>
        </w:rPr>
        <w:t>: Galvanizer must have a minimum of ten years of experience in hot-dip galvanizing using the dry kettle process and the application of the coatings required in this specification.  The coating application must be performed in the same facility as the galvanizing.</w:t>
      </w:r>
    </w:p>
    <w:p w14:paraId="7D002710" w14:textId="7B67394B" w:rsidR="00445B4F" w:rsidRPr="000A6351" w:rsidRDefault="00445B4F" w:rsidP="00A91AF6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A6351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0A6351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0736107D" w14:textId="77777777" w:rsidR="005C69C5" w:rsidRDefault="005C69C5" w:rsidP="005C69C5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40233BBD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22B7A192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79BE24B1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0E92A585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2AE4A5AD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20B4A6D4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4D70E9B5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7FC2A4A9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6933D46A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0468CB71" w14:textId="77777777" w:rsidR="005C69C5" w:rsidRDefault="005C69C5" w:rsidP="005C69C5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54F07AE" w14:textId="77777777" w:rsidR="00A1667A" w:rsidRDefault="00A1667A" w:rsidP="00A1667A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389DE280" w14:textId="77777777" w:rsidR="009F3B7C" w:rsidRDefault="009F3B7C" w:rsidP="009F3B7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1C071468" w14:textId="77777777" w:rsidR="009F3B7C" w:rsidRPr="004415D3" w:rsidRDefault="009F3B7C" w:rsidP="009F3B7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17B61F41" w14:textId="774C46D8" w:rsidR="005C69C5" w:rsidRPr="000A6351" w:rsidRDefault="009F3B7C" w:rsidP="00BC02A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A6351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 </w:t>
      </w:r>
    </w:p>
    <w:p w14:paraId="4E88CE85" w14:textId="77777777" w:rsidR="009F3B7C" w:rsidRPr="004415D3" w:rsidRDefault="009F3B7C" w:rsidP="009F3B7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71679995" w14:textId="77777777" w:rsidR="009F3B7C" w:rsidRPr="004415D3" w:rsidRDefault="009F3B7C" w:rsidP="009F3B7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2E7BDE18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61040706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728E55E1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59819DBC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5C8D1F05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2CEBE7F9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712EF72C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31CD4A45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2BA71980" w14:textId="77777777" w:rsidR="009F3B7C" w:rsidRPr="004415D3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448A1493" w14:textId="77777777" w:rsidR="009F3B7C" w:rsidRDefault="009F3B7C" w:rsidP="009F3B7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48080E52" w14:textId="77777777" w:rsidR="002512E8" w:rsidRDefault="002512E8" w:rsidP="002512E8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11B7C4" w14:textId="29EAD6B2" w:rsidR="005E1A0C" w:rsidRPr="002512E8" w:rsidRDefault="005E1A0C" w:rsidP="001929B7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512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Intermediate Coat</w:t>
      </w:r>
      <w:r w:rsidRPr="002512E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BE1362" w:rsidRPr="002512E8">
        <w:rPr>
          <w:rFonts w:asciiTheme="minorHAnsi" w:hAnsiTheme="minorHAnsi" w:cstheme="minorHAnsi"/>
          <w:color w:val="000000"/>
          <w:sz w:val="22"/>
          <w:szCs w:val="22"/>
        </w:rPr>
        <w:t>Provide a factory applied aliphatic urethane intermediate coat in the specified color and gloss range per approved samples.</w:t>
      </w:r>
    </w:p>
    <w:p w14:paraId="3FC39B2B" w14:textId="77777777" w:rsidR="005E1A0C" w:rsidRPr="00020713" w:rsidRDefault="005E1A0C" w:rsidP="005E1A0C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Intermediate coat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shall be certified OTC/VOC compliant and conform to EPA and local requirements. </w:t>
      </w:r>
    </w:p>
    <w:p w14:paraId="4E24869B" w14:textId="77777777" w:rsidR="005E1A0C" w:rsidRDefault="005E1A0C" w:rsidP="005E1A0C">
      <w:pPr>
        <w:pStyle w:val="NormalWeb"/>
        <w:numPr>
          <w:ilvl w:val="1"/>
          <w:numId w:val="44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Intermediate coat 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shall be applied over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CB54E4">
        <w:rPr>
          <w:rFonts w:ascii="Calibri" w:hAnsi="Calibri" w:cs="Calibri"/>
          <w:color w:val="000000"/>
          <w:sz w:val="22"/>
          <w:szCs w:val="22"/>
        </w:rPr>
        <w:t>primer per the manufacturer’s recoat schedule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B54E4">
        <w:rPr>
          <w:rFonts w:ascii="Calibri" w:hAnsi="Calibri" w:cs="Calibri"/>
          <w:color w:val="000000"/>
          <w:sz w:val="22"/>
          <w:szCs w:val="22"/>
        </w:rPr>
        <w:t>in a controlled environment meeting applicable conditions 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by the coating manufacturer.</w:t>
      </w:r>
    </w:p>
    <w:p w14:paraId="6A4CB4CF" w14:textId="77777777" w:rsidR="005E1A0C" w:rsidRDefault="005E1A0C" w:rsidP="005E1A0C">
      <w:pPr>
        <w:pStyle w:val="NormalWeb"/>
        <w:numPr>
          <w:ilvl w:val="1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Intermediate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coat</w:t>
      </w:r>
      <w:r>
        <w:rPr>
          <w:rFonts w:ascii="Calibri" w:hAnsi="Calibri" w:cs="Calibri"/>
          <w:color w:val="000000"/>
          <w:sz w:val="22"/>
          <w:szCs w:val="22"/>
        </w:rPr>
        <w:t xml:space="preserve"> shall be applied at 4-6 mils DFT and meet or exceed the following performance criteria as stipulated by the coating manufacturer:</w:t>
      </w:r>
    </w:p>
    <w:p w14:paraId="1BC15480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Abrasion Resistance: ASTM D 4060, CS17 Wheel, 1,000 cycles 1 kg load; 87.1 mg loss.</w:t>
      </w:r>
    </w:p>
    <w:p w14:paraId="62D36A2C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Adhesion: ASTM D 4541; 1,050 psi.</w:t>
      </w:r>
    </w:p>
    <w:p w14:paraId="639CF240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Direct Impact Resistance: ASTM D 2794; greater than 32 in. pounds.</w:t>
      </w:r>
    </w:p>
    <w:p w14:paraId="17065A0B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Dry Heat Resistance: ASTM D 2485; 200 degrees F (93 C).</w:t>
      </w:r>
    </w:p>
    <w:p w14:paraId="69B914D6" w14:textId="62331B70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Salt Fog Resistance: ASTM B 117 9,000 hours; Rating 10 per ASTM D 714 for blistering, Rating 9 per ASTM D 610 for rusting.</w:t>
      </w:r>
    </w:p>
    <w:p w14:paraId="7C614276" w14:textId="64B08033" w:rsidR="005E1A0C" w:rsidRPr="00F06057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06057">
        <w:rPr>
          <w:rFonts w:ascii="Calibri" w:hAnsi="Calibri" w:cs="Calibri"/>
          <w:color w:val="000000"/>
          <w:sz w:val="22"/>
          <w:szCs w:val="22"/>
        </w:rPr>
        <w:t>Flexibility: ASTM D522, 180 degrees bend, 1/8-inch mandrel; Passes.</w:t>
      </w:r>
    </w:p>
    <w:p w14:paraId="3A3F9836" w14:textId="77777777" w:rsidR="005E1A0C" w:rsidRPr="00516D4A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sz w:val="22"/>
          <w:szCs w:val="22"/>
        </w:rPr>
      </w:pPr>
      <w:r w:rsidRPr="00516D4A">
        <w:rPr>
          <w:rFonts w:ascii="Calibri" w:hAnsi="Calibri" w:cs="Calibri"/>
          <w:sz w:val="22"/>
          <w:szCs w:val="22"/>
        </w:rPr>
        <w:t>Pencil Hardness: ASTM D 3363</w:t>
      </w:r>
      <w:r>
        <w:rPr>
          <w:rFonts w:ascii="Calibri" w:hAnsi="Calibri" w:cs="Calibri"/>
          <w:sz w:val="22"/>
          <w:szCs w:val="22"/>
        </w:rPr>
        <w:t>;</w:t>
      </w:r>
      <w:r w:rsidRPr="00516D4A">
        <w:rPr>
          <w:rFonts w:ascii="Calibri" w:hAnsi="Calibri" w:cs="Calibri"/>
          <w:sz w:val="22"/>
          <w:szCs w:val="22"/>
        </w:rPr>
        <w:t xml:space="preserve"> F.</w:t>
      </w:r>
    </w:p>
    <w:p w14:paraId="34BF2676" w14:textId="77777777" w:rsidR="005E1A0C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Moisture Condensation Resistance: ASTM D 4585, 100 degrees F (38 C), 1,000 hours; No rusting blistering or delamination.</w:t>
      </w:r>
    </w:p>
    <w:p w14:paraId="2433445A" w14:textId="77777777" w:rsidR="005E1A0C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Corrosion Weathering: ASTM D 5894, 21 Cycles, 7,056 Hours; Rating 10 per ASTM D714 for blistering. Rating 9 Per ASTM D 610 for Rusting.</w:t>
      </w:r>
    </w:p>
    <w:p w14:paraId="32F2E724" w14:textId="620FC815" w:rsidR="00252D87" w:rsidRPr="000A6351" w:rsidRDefault="005E1A0C" w:rsidP="000145B5">
      <w:pPr>
        <w:pStyle w:val="NormalWeb"/>
        <w:numPr>
          <w:ilvl w:val="2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A6351">
        <w:rPr>
          <w:rFonts w:ascii="Calibri" w:hAnsi="Calibri" w:cs="Calibri"/>
          <w:color w:val="000000"/>
          <w:sz w:val="22"/>
          <w:szCs w:val="22"/>
        </w:rPr>
        <w:t>Thermal Shock: ASTM D 2246, 15 cycles; Excellent</w:t>
      </w:r>
    </w:p>
    <w:p w14:paraId="15443220" w14:textId="77777777" w:rsidR="003D5CDE" w:rsidRPr="00020713" w:rsidRDefault="003D5CDE" w:rsidP="003D5CDE">
      <w:pPr>
        <w:pStyle w:val="NormalWeb"/>
        <w:numPr>
          <w:ilvl w:val="0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506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Fluorolymer Topcoat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Provide factory applied premium performance fluoropolymer urethane topcoat in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specified color and gloss range per approved samples.</w:t>
      </w:r>
    </w:p>
    <w:p w14:paraId="74439F82" w14:textId="77777777" w:rsidR="003D5CDE" w:rsidRPr="00020713" w:rsidRDefault="003D5CDE" w:rsidP="003D5CDE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Fluoropolymer Topcoat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shall be certified OTC/VOC compliant and conform to EPA and local requirements. </w:t>
      </w:r>
    </w:p>
    <w:p w14:paraId="614B2CAB" w14:textId="77777777" w:rsidR="003D5CDE" w:rsidRDefault="003D5CDE" w:rsidP="003D5CDE">
      <w:pPr>
        <w:pStyle w:val="NormalWeb"/>
        <w:numPr>
          <w:ilvl w:val="1"/>
          <w:numId w:val="44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Fluoropolymer Topcoat 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shall be applied over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CB54E4">
        <w:rPr>
          <w:rFonts w:ascii="Calibri" w:hAnsi="Calibri" w:cs="Calibri"/>
          <w:color w:val="000000"/>
          <w:sz w:val="22"/>
          <w:szCs w:val="22"/>
        </w:rPr>
        <w:t>primer per the manufacturer’s recoat schedule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B54E4">
        <w:rPr>
          <w:rFonts w:ascii="Calibri" w:hAnsi="Calibri" w:cs="Calibri"/>
          <w:color w:val="000000"/>
          <w:sz w:val="22"/>
          <w:szCs w:val="22"/>
        </w:rPr>
        <w:t>in a controlled environment meeting applicable conditions 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by the coating manufacturer.</w:t>
      </w:r>
    </w:p>
    <w:p w14:paraId="1BFD926F" w14:textId="77777777" w:rsidR="003D5CDE" w:rsidRDefault="003D5CDE" w:rsidP="003D5CDE">
      <w:pPr>
        <w:pStyle w:val="NormalWeb"/>
        <w:numPr>
          <w:ilvl w:val="1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164F">
        <w:rPr>
          <w:rFonts w:asciiTheme="minorHAnsi" w:hAnsiTheme="minorHAnsi" w:cstheme="minorHAnsi"/>
          <w:color w:val="000000"/>
          <w:sz w:val="22"/>
          <w:szCs w:val="22"/>
        </w:rPr>
        <w:t xml:space="preserve">Fluoropolymer Topcoat will be applied at 2-3 mils DFT and must meet or exceed the following </w:t>
      </w:r>
      <w:r>
        <w:rPr>
          <w:rFonts w:ascii="Calibri" w:hAnsi="Calibri" w:cs="Calibri"/>
          <w:color w:val="000000"/>
          <w:sz w:val="22"/>
          <w:szCs w:val="22"/>
        </w:rPr>
        <w:t>performance criteria as stipulated by the coating manufacturer:</w:t>
      </w:r>
    </w:p>
    <w:p w14:paraId="69E77EE5" w14:textId="77777777" w:rsidR="003D5CDE" w:rsidRPr="0005164F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164F">
        <w:rPr>
          <w:rFonts w:asciiTheme="minorHAnsi" w:hAnsiTheme="minorHAnsi" w:cstheme="minorHAnsi"/>
          <w:color w:val="000000"/>
          <w:sz w:val="22"/>
          <w:szCs w:val="22"/>
        </w:rPr>
        <w:t>Adhesion: D 4541; 2,655 psi</w:t>
      </w:r>
    </w:p>
    <w:p w14:paraId="70FBF779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Direct Impact Resistance: ASTM 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4;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80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in. pounds.</w:t>
      </w:r>
    </w:p>
    <w:p w14:paraId="0D51C676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Dry Heat Resistance: ASTM D 2485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200 degrees 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(93 C)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53746C1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Flexibility: ASTM D 522, 180 degrees bend, 1/8-inch mandrel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Passes.</w:t>
      </w:r>
    </w:p>
    <w:p w14:paraId="04A22233" w14:textId="77777777" w:rsidR="003D5CDE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16D4A">
        <w:rPr>
          <w:rFonts w:asciiTheme="minorHAnsi" w:hAnsiTheme="minorHAnsi" w:cstheme="minorHAnsi"/>
          <w:sz w:val="22"/>
          <w:szCs w:val="22"/>
        </w:rPr>
        <w:t>Pencil Hardness: ASTM D 3363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516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516D4A">
        <w:rPr>
          <w:rFonts w:asciiTheme="minorHAnsi" w:hAnsiTheme="minorHAnsi" w:cstheme="minorHAnsi"/>
          <w:sz w:val="22"/>
          <w:szCs w:val="22"/>
        </w:rPr>
        <w:t>.</w:t>
      </w:r>
    </w:p>
    <w:p w14:paraId="23916B19" w14:textId="127BC07F" w:rsidR="002512E8" w:rsidRDefault="003D5CDE" w:rsidP="002512E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Humidity Resistance ASTM D4585 3,000 hours: pass</w:t>
      </w:r>
      <w:r w:rsidR="0001496E">
        <w:rPr>
          <w:rFonts w:asciiTheme="minorHAnsi" w:hAnsiTheme="minorHAnsi" w:cstheme="minorHAnsi"/>
          <w:sz w:val="22"/>
          <w:szCs w:val="22"/>
        </w:rPr>
        <w:t>es</w:t>
      </w:r>
      <w:bookmarkStart w:id="0" w:name="_Hlk50027162"/>
    </w:p>
    <w:p w14:paraId="2862968E" w14:textId="77777777" w:rsidR="000A6351" w:rsidRPr="000A6351" w:rsidRDefault="000A6351" w:rsidP="000A6351">
      <w:pPr>
        <w:pStyle w:val="NormalWeb"/>
        <w:spacing w:after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BF91C6" w14:textId="09CD69DA" w:rsidR="00C46CE6" w:rsidRPr="00C46CE6" w:rsidRDefault="00C46CE6" w:rsidP="00C46CE6">
      <w:pPr>
        <w:pStyle w:val="NormalWeb"/>
        <w:numPr>
          <w:ilvl w:val="0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6C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Clear-coat</w:t>
      </w:r>
      <w:r w:rsidRPr="00C46CE6">
        <w:rPr>
          <w:rFonts w:asciiTheme="minorHAnsi" w:hAnsiTheme="minorHAnsi" w:cstheme="minorHAnsi"/>
          <w:color w:val="000000"/>
          <w:sz w:val="22"/>
          <w:szCs w:val="22"/>
        </w:rPr>
        <w:t>: Provide factory applied UV resistant, anti-graffiti, aliphatic acrylic urethane clear-coat in specified gloss range per approved samples.</w:t>
      </w:r>
    </w:p>
    <w:p w14:paraId="1548194C" w14:textId="240F4716" w:rsidR="00C46CE6" w:rsidRPr="00171D7D" w:rsidRDefault="00C46CE6" w:rsidP="00C46CE6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6CE6">
        <w:rPr>
          <w:rFonts w:asciiTheme="minorHAnsi" w:hAnsiTheme="minorHAnsi" w:cstheme="minorHAnsi"/>
          <w:color w:val="000000"/>
          <w:sz w:val="22"/>
          <w:szCs w:val="22"/>
        </w:rPr>
        <w:t xml:space="preserve">Clear-coat shall be certified OTC/VOC compliant and conform to EPA and local requirements.  </w:t>
      </w:r>
    </w:p>
    <w:p w14:paraId="09FF2D36" w14:textId="06B37BA5" w:rsidR="00C46CE6" w:rsidRPr="00171D7D" w:rsidRDefault="00C46CE6" w:rsidP="00171D7D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1D7D">
        <w:rPr>
          <w:rFonts w:asciiTheme="minorHAnsi" w:hAnsiTheme="minorHAnsi" w:cstheme="minorHAnsi"/>
          <w:color w:val="000000"/>
          <w:sz w:val="22"/>
          <w:szCs w:val="22"/>
        </w:rPr>
        <w:t>Clear-coat shall be applied over the topcoat at the galvanizer’s facility.  Clear-coat shall be applied in a controlled environment meeting applicable conditions and recoat times as required by the coating manufacturer.</w:t>
      </w:r>
    </w:p>
    <w:p w14:paraId="1D7637BA" w14:textId="62269C42" w:rsidR="00C46CE6" w:rsidRPr="00171D7D" w:rsidRDefault="00C46CE6" w:rsidP="00171D7D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1D7D">
        <w:rPr>
          <w:rFonts w:asciiTheme="minorHAnsi" w:hAnsiTheme="minorHAnsi" w:cstheme="minorHAnsi"/>
          <w:color w:val="000000"/>
          <w:sz w:val="22"/>
          <w:szCs w:val="22"/>
        </w:rPr>
        <w:t>Clear-coat shall be applied at 1-2 mils DFT and meet or exceed the following performance criteria as stipulated by the coating manufacturer:</w:t>
      </w:r>
    </w:p>
    <w:p w14:paraId="6AE94F95" w14:textId="77777777" w:rsidR="00171D7D" w:rsidRPr="00171D7D" w:rsidRDefault="00C46CE6" w:rsidP="00171D7D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1D7D">
        <w:rPr>
          <w:rFonts w:asciiTheme="minorHAnsi" w:hAnsiTheme="minorHAnsi" w:cstheme="minorHAnsi"/>
          <w:color w:val="000000"/>
          <w:sz w:val="22"/>
          <w:szCs w:val="22"/>
        </w:rPr>
        <w:t>Abrasion Resistance: ASTM D 4060, CS17 Wheel, 1,000 cycles 1 kg load; 55 mg loss.</w:t>
      </w:r>
    </w:p>
    <w:p w14:paraId="7234FB12" w14:textId="139EEB3C" w:rsidR="00C46CE6" w:rsidRPr="00171D7D" w:rsidRDefault="00C46CE6" w:rsidP="00171D7D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1D7D">
        <w:rPr>
          <w:rFonts w:asciiTheme="minorHAnsi" w:hAnsiTheme="minorHAnsi" w:cstheme="minorHAnsi"/>
          <w:color w:val="000000"/>
          <w:sz w:val="22"/>
          <w:szCs w:val="22"/>
        </w:rPr>
        <w:t>Adhesion: ASTM D 4541; 1,250 psi.</w:t>
      </w:r>
    </w:p>
    <w:p w14:paraId="7590C531" w14:textId="3B0C8EC0" w:rsidR="00C46CE6" w:rsidRPr="007C0608" w:rsidRDefault="00C46CE6" w:rsidP="00171D7D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1D7D">
        <w:rPr>
          <w:rFonts w:asciiTheme="minorHAnsi" w:hAnsiTheme="minorHAnsi" w:cstheme="minorHAnsi"/>
          <w:color w:val="000000"/>
          <w:sz w:val="22"/>
          <w:szCs w:val="22"/>
        </w:rPr>
        <w:t>Direct Impact Resistance: ASTM D 2794; 120 in. pounds.</w:t>
      </w:r>
    </w:p>
    <w:p w14:paraId="4DE9D91E" w14:textId="69A08C5C" w:rsidR="00C46CE6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>Dry Heat Resistance: ASTM D 2485; 200 degrees F (93 C).</w:t>
      </w:r>
    </w:p>
    <w:p w14:paraId="1F3B3888" w14:textId="7788145E" w:rsidR="00C46CE6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>Salt Fog Resistance: ASTM B 117 3,000 hours; Passes, no blistering or rusting</w:t>
      </w:r>
    </w:p>
    <w:p w14:paraId="3DF46AB6" w14:textId="06572D0B" w:rsidR="00C46CE6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>Flexibility: ASTM D522, 180 degrees bend, 1/8-inch mandrel; Passes.</w:t>
      </w:r>
    </w:p>
    <w:p w14:paraId="64AE8F86" w14:textId="67D305E1" w:rsidR="00C46CE6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sz w:val="22"/>
          <w:szCs w:val="22"/>
        </w:rPr>
        <w:t>Pencil Hardness: ASTM D 3363; HB.</w:t>
      </w:r>
    </w:p>
    <w:p w14:paraId="17C4E57E" w14:textId="79813052" w:rsidR="00C46CE6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 xml:space="preserve">Corrosion Weathering: ASTM D 5894, 9 Cycles, 3000 Hours; Passes- no blistering, cracking, rusting or delamination. </w:t>
      </w:r>
    </w:p>
    <w:p w14:paraId="77A4D622" w14:textId="1AC18EC0" w:rsidR="00C46CE6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 xml:space="preserve">Accelerated Weathering: ASTM D 4587, QUV-A 10,000 hours; 100% Gloss retention. </w:t>
      </w:r>
    </w:p>
    <w:p w14:paraId="4922C228" w14:textId="6A561F62" w:rsidR="00DB3F13" w:rsidRPr="007C0608" w:rsidRDefault="00C46CE6" w:rsidP="007C0608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C0608">
        <w:rPr>
          <w:rFonts w:asciiTheme="minorHAnsi" w:hAnsiTheme="minorHAnsi" w:cstheme="minorHAnsi"/>
          <w:color w:val="000000"/>
          <w:sz w:val="22"/>
          <w:szCs w:val="22"/>
        </w:rPr>
        <w:t>Graffiti Resistance: epoxy ester spray, acrylic spray, alkyd spray, ballpoint pen ink, crayon, lipstick; all easily and completely removed with either xylene or MEK.</w:t>
      </w:r>
      <w:bookmarkEnd w:id="0"/>
    </w:p>
    <w:p w14:paraId="75B2FCE5" w14:textId="77777777" w:rsidR="0032519A" w:rsidRPr="00A15716" w:rsidRDefault="0032519A" w:rsidP="008F6C40">
      <w:pPr>
        <w:pStyle w:val="NormalWeb"/>
        <w:spacing w:before="0" w:beforeAutospacing="0" w:after="0" w:afterAutospacing="0"/>
        <w:ind w:left="180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4FFE026" w14:textId="3133C010" w:rsidR="00F21B1B" w:rsidRDefault="00F21B1B" w:rsidP="00F21B1B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4FBDA24A" w14:textId="6CC8DED5" w:rsidR="00252D87" w:rsidRPr="000A6351" w:rsidRDefault="00B07602" w:rsidP="00DA2D8F">
      <w:pPr>
        <w:pStyle w:val="NormalWeb"/>
        <w:numPr>
          <w:ilvl w:val="1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A6351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0AB28D7D" w14:textId="77777777" w:rsidR="00B07602" w:rsidRDefault="00B07602" w:rsidP="00B07602">
      <w:pPr>
        <w:pStyle w:val="NormalWeb"/>
        <w:numPr>
          <w:ilvl w:val="1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Gloss and color warranty shall be 20 years in accordance with the following performance specifications:</w:t>
      </w:r>
    </w:p>
    <w:p w14:paraId="7EEABD16" w14:textId="77777777" w:rsidR="00B07602" w:rsidRDefault="00B07602" w:rsidP="00B07602">
      <w:pPr>
        <w:pStyle w:val="NormalWeb"/>
        <w:numPr>
          <w:ilvl w:val="2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Fade: Defined as a loss of gloss not to exceed 20 units of gloss, which shall be measured in accordance with ASTM D 523-89 with 60 degrees geometry.</w:t>
      </w:r>
    </w:p>
    <w:p w14:paraId="0E64FC8A" w14:textId="711970D6" w:rsidR="00B07602" w:rsidRDefault="00B07602" w:rsidP="00B07602">
      <w:pPr>
        <w:pStyle w:val="NormalWeb"/>
        <w:numPr>
          <w:ilvl w:val="2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Color shift: Not to exceed 12 DE CIE LAB units for whites and light colors.  </w:t>
      </w:r>
      <w:r w:rsidRPr="00B10FD0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 xml:space="preserve">Dark colors, </w:t>
      </w:r>
      <w:r w:rsidRPr="00B10FD0">
        <w:rPr>
          <w:rFonts w:ascii="Calibri" w:hAnsi="Calibri" w:cs="Calibri"/>
          <w:color w:val="000000"/>
          <w:sz w:val="22"/>
          <w:szCs w:val="22"/>
        </w:rPr>
        <w:t>yellows, oranges, and reds are excluded)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80AAB77" w14:textId="77777777" w:rsidR="000A6351" w:rsidRDefault="000A6351" w:rsidP="000A6351">
      <w:pPr>
        <w:pStyle w:val="NormalWeb"/>
        <w:spacing w:after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4B486097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DA6CB6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3E6E4EA2" w14:textId="77777777" w:rsidR="00013497" w:rsidRDefault="00013497" w:rsidP="00013497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28CB65AF" w14:textId="77777777" w:rsidR="00013497" w:rsidRDefault="00013497" w:rsidP="00013497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1E08B355" w14:textId="239E1928" w:rsidR="00013497" w:rsidRDefault="00013497" w:rsidP="00013497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twice per month to determine compliance with ASTM standards. </w:t>
      </w:r>
      <w:r w:rsidR="00252D87">
        <w:rPr>
          <w:rFonts w:asciiTheme="minorHAnsi" w:hAnsiTheme="minorHAnsi" w:cs="Arial"/>
          <w:color w:val="000000"/>
          <w:sz w:val="22"/>
          <w:szCs w:val="22"/>
        </w:rPr>
        <w:t>Zinc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 and verified by an independent lab quarterly.</w:t>
      </w: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310876BA" w14:textId="77777777" w:rsidR="007A19B1" w:rsidRPr="009921C0" w:rsidRDefault="007A19B1" w:rsidP="007A19B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24FEADB0" w14:textId="15B28AD4" w:rsidR="009D1A88" w:rsidRDefault="009D1A88" w:rsidP="009D1A88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5959FC5F" w14:textId="1826EE42" w:rsidR="009D1A88" w:rsidRDefault="009D1A88" w:rsidP="009D1A88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06312C39" w14:textId="61760903" w:rsidR="00404A50" w:rsidRPr="000A6351" w:rsidRDefault="009D1A88" w:rsidP="005A464B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A6351">
        <w:rPr>
          <w:rFonts w:asciiTheme="minorHAnsi" w:hAnsiTheme="minorHAnsi" w:cs="Arial"/>
          <w:color w:val="000000"/>
          <w:sz w:val="22"/>
          <w:szCs w:val="22"/>
        </w:rPr>
        <w:t>Where NEPCOAT systems are specified, the repair paint shall be an organic Zinc Rich paint listed on NEPCOAT System B.</w:t>
      </w:r>
    </w:p>
    <w:p w14:paraId="16A588D1" w14:textId="67C1D873" w:rsidR="009D1A88" w:rsidRDefault="009D1A88" w:rsidP="009D1A88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240E3351" w14:textId="77777777" w:rsidR="00CE2053" w:rsidRDefault="00CE2053" w:rsidP="00507614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511C27B0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0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D0045"/>
    <w:multiLevelType w:val="multilevel"/>
    <w:tmpl w:val="78163E6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upperLetter"/>
        <w:lvlText w:val="%1."/>
        <w:lvlJc w:val="left"/>
      </w:lvl>
    </w:lvlOverride>
  </w:num>
  <w:num w:numId="2">
    <w:abstractNumId w:val="31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4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8"/>
  </w:num>
  <w:num w:numId="9">
    <w:abstractNumId w:val="25"/>
    <w:lvlOverride w:ilvl="0">
      <w:lvl w:ilvl="0">
        <w:numFmt w:val="upperLetter"/>
        <w:lvlText w:val="%1."/>
        <w:lvlJc w:val="left"/>
      </w:lvl>
    </w:lvlOverride>
  </w:num>
  <w:num w:numId="10">
    <w:abstractNumId w:val="21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0"/>
    <w:lvlOverride w:ilvl="0">
      <w:lvl w:ilvl="0">
        <w:numFmt w:val="upperLetter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upperLetter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26"/>
    <w:lvlOverride w:ilvl="0">
      <w:lvl w:ilvl="0">
        <w:numFmt w:val="upperLetter"/>
        <w:lvlText w:val="%1."/>
        <w:lvlJc w:val="left"/>
      </w:lvl>
    </w:lvlOverride>
  </w:num>
  <w:num w:numId="32">
    <w:abstractNumId w:val="29"/>
  </w:num>
  <w:num w:numId="33">
    <w:abstractNumId w:val="14"/>
  </w:num>
  <w:num w:numId="34">
    <w:abstractNumId w:val="15"/>
  </w:num>
  <w:num w:numId="35">
    <w:abstractNumId w:val="5"/>
  </w:num>
  <w:num w:numId="36">
    <w:abstractNumId w:val="27"/>
  </w:num>
  <w:num w:numId="37">
    <w:abstractNumId w:val="33"/>
  </w:num>
  <w:num w:numId="38">
    <w:abstractNumId w:val="16"/>
  </w:num>
  <w:num w:numId="39">
    <w:abstractNumId w:val="0"/>
  </w:num>
  <w:num w:numId="40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19"/>
  </w:num>
  <w:num w:numId="42">
    <w:abstractNumId w:val="35"/>
  </w:num>
  <w:num w:numId="43">
    <w:abstractNumId w:val="33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001BB"/>
    <w:rsid w:val="00013497"/>
    <w:rsid w:val="0001496E"/>
    <w:rsid w:val="00015367"/>
    <w:rsid w:val="00032CD2"/>
    <w:rsid w:val="00085808"/>
    <w:rsid w:val="000A6351"/>
    <w:rsid w:val="000D7BEC"/>
    <w:rsid w:val="00155BA9"/>
    <w:rsid w:val="00155E51"/>
    <w:rsid w:val="00171713"/>
    <w:rsid w:val="00171D7D"/>
    <w:rsid w:val="001E0ED9"/>
    <w:rsid w:val="00245DCB"/>
    <w:rsid w:val="002512E8"/>
    <w:rsid w:val="00252D87"/>
    <w:rsid w:val="002A6E01"/>
    <w:rsid w:val="002C7119"/>
    <w:rsid w:val="002D527B"/>
    <w:rsid w:val="00321D53"/>
    <w:rsid w:val="0032519A"/>
    <w:rsid w:val="00372DEE"/>
    <w:rsid w:val="003B0E97"/>
    <w:rsid w:val="003D4D86"/>
    <w:rsid w:val="003D5CDE"/>
    <w:rsid w:val="00404A50"/>
    <w:rsid w:val="00442468"/>
    <w:rsid w:val="00445B4F"/>
    <w:rsid w:val="0045264E"/>
    <w:rsid w:val="00507614"/>
    <w:rsid w:val="00532574"/>
    <w:rsid w:val="005329C2"/>
    <w:rsid w:val="00587266"/>
    <w:rsid w:val="00592588"/>
    <w:rsid w:val="005B72E8"/>
    <w:rsid w:val="005C69C5"/>
    <w:rsid w:val="005D667E"/>
    <w:rsid w:val="005E1A0C"/>
    <w:rsid w:val="00640F20"/>
    <w:rsid w:val="006510BC"/>
    <w:rsid w:val="00662AAC"/>
    <w:rsid w:val="00693460"/>
    <w:rsid w:val="006C2BF6"/>
    <w:rsid w:val="00771866"/>
    <w:rsid w:val="007A19B1"/>
    <w:rsid w:val="007A2DDC"/>
    <w:rsid w:val="007B058B"/>
    <w:rsid w:val="007C0608"/>
    <w:rsid w:val="007C3DA0"/>
    <w:rsid w:val="007D5AAE"/>
    <w:rsid w:val="007F0BA4"/>
    <w:rsid w:val="008058BE"/>
    <w:rsid w:val="00806A82"/>
    <w:rsid w:val="00857B0B"/>
    <w:rsid w:val="008865C1"/>
    <w:rsid w:val="008C1626"/>
    <w:rsid w:val="008F6C40"/>
    <w:rsid w:val="00926C74"/>
    <w:rsid w:val="009802DE"/>
    <w:rsid w:val="009A7EA4"/>
    <w:rsid w:val="009B075E"/>
    <w:rsid w:val="009B4ACB"/>
    <w:rsid w:val="009D1A88"/>
    <w:rsid w:val="009F3B7C"/>
    <w:rsid w:val="00A15716"/>
    <w:rsid w:val="00A1667A"/>
    <w:rsid w:val="00A4798D"/>
    <w:rsid w:val="00A61488"/>
    <w:rsid w:val="00A664E9"/>
    <w:rsid w:val="00A8301C"/>
    <w:rsid w:val="00AB3C02"/>
    <w:rsid w:val="00B038BD"/>
    <w:rsid w:val="00B07602"/>
    <w:rsid w:val="00B47589"/>
    <w:rsid w:val="00B636E4"/>
    <w:rsid w:val="00B9164F"/>
    <w:rsid w:val="00B97F34"/>
    <w:rsid w:val="00BA5356"/>
    <w:rsid w:val="00BD51D3"/>
    <w:rsid w:val="00BE1362"/>
    <w:rsid w:val="00BE70DB"/>
    <w:rsid w:val="00C33DC2"/>
    <w:rsid w:val="00C46CE6"/>
    <w:rsid w:val="00C72C22"/>
    <w:rsid w:val="00CD536E"/>
    <w:rsid w:val="00CE2053"/>
    <w:rsid w:val="00D51D14"/>
    <w:rsid w:val="00D81FF1"/>
    <w:rsid w:val="00DA136B"/>
    <w:rsid w:val="00DA6CB6"/>
    <w:rsid w:val="00DB2D68"/>
    <w:rsid w:val="00DB3F13"/>
    <w:rsid w:val="00DC511F"/>
    <w:rsid w:val="00E2777C"/>
    <w:rsid w:val="00E81F4F"/>
    <w:rsid w:val="00EB49A2"/>
    <w:rsid w:val="00F02CF9"/>
    <w:rsid w:val="00F06057"/>
    <w:rsid w:val="00F21B1B"/>
    <w:rsid w:val="00F21F8B"/>
    <w:rsid w:val="00F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15</cp:revision>
  <dcterms:created xsi:type="dcterms:W3CDTF">2022-03-15T18:46:00Z</dcterms:created>
  <dcterms:modified xsi:type="dcterms:W3CDTF">2022-03-17T16:35:00Z</dcterms:modified>
</cp:coreProperties>
</file>